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84A3" w14:textId="592FA56B" w:rsidR="00156DA7" w:rsidRPr="008310AD" w:rsidRDefault="00286394" w:rsidP="008310AD">
      <w:pPr>
        <w:pStyle w:val="Heading2"/>
      </w:pPr>
      <w:r w:rsidRPr="008310AD">
        <w:t>Services Overview</w:t>
      </w:r>
    </w:p>
    <w:p w14:paraId="5F7BDEC8" w14:textId="77777777" w:rsidR="006D585E" w:rsidRDefault="006D585E" w:rsidP="00F136DC">
      <w:r w:rsidRPr="00F136DC">
        <w:t xml:space="preserve">The Yale </w:t>
      </w:r>
      <w:proofErr w:type="spellStart"/>
      <w:r w:rsidRPr="00F136DC">
        <w:t>Lipidomics</w:t>
      </w:r>
      <w:proofErr w:type="spellEnd"/>
      <w:r w:rsidRPr="00F136DC">
        <w:t xml:space="preserve"> Innovation Core provides end-to-end </w:t>
      </w:r>
      <w:proofErr w:type="spellStart"/>
      <w:r w:rsidRPr="00F136DC">
        <w:t>lipidomics</w:t>
      </w:r>
      <w:proofErr w:type="spellEnd"/>
      <w:r w:rsidRPr="00F136DC">
        <w:t xml:space="preserve"> services for researchers across Yale and beyond. From sample preparation through data interpretation, our team delivers reproducible, publication-ready results using state-of-the-art Orbitrap mass spectrometry. Explore our service categories below.</w:t>
      </w:r>
    </w:p>
    <w:p w14:paraId="4C190CBB" w14:textId="77777777" w:rsidR="00A63BE2" w:rsidRPr="00F136DC" w:rsidRDefault="00A63BE2" w:rsidP="00F136DC"/>
    <w:p w14:paraId="2943B20B" w14:textId="77777777" w:rsidR="00383DD4" w:rsidRDefault="00383DD4" w:rsidP="00F136DC">
      <w:pPr>
        <w:pStyle w:val="Heading2"/>
      </w:pPr>
      <w:r>
        <w:rPr>
          <w:rFonts w:eastAsia="Calibri"/>
        </w:rPr>
        <w:t>Sample Preparation</w:t>
      </w:r>
    </w:p>
    <w:p w14:paraId="6B0D46F0" w14:textId="41EC18B3" w:rsidR="005763DB" w:rsidRPr="00A63BE2" w:rsidRDefault="0019454D" w:rsidP="00A63BE2">
      <w:r w:rsidRPr="00A63BE2">
        <w:t>We handle your samples with standardized, reproducible protocols from receipt to extraction.</w:t>
      </w:r>
      <w:r w:rsidR="000025B3" w:rsidRPr="00A63BE2">
        <w:t xml:space="preserve"> Samples processed in randomized batches if requested.</w:t>
      </w:r>
      <w:r w:rsidR="005763DB" w:rsidRPr="00A63BE2">
        <w:t xml:space="preserve"> </w:t>
      </w:r>
      <w:r w:rsidR="00F81009" w:rsidRPr="00A63BE2">
        <w:t xml:space="preserve">When absolute quantification </w:t>
      </w:r>
      <w:r w:rsidR="00091C9F" w:rsidRPr="00A63BE2">
        <w:t xml:space="preserve">is </w:t>
      </w:r>
      <w:r w:rsidR="00F81009" w:rsidRPr="00A63BE2">
        <w:t xml:space="preserve">requested, </w:t>
      </w:r>
      <w:r w:rsidR="004D0354" w:rsidRPr="00A63BE2">
        <w:t>matched deuterated internal standard panels</w:t>
      </w:r>
      <w:r w:rsidR="00544282" w:rsidRPr="00A63BE2">
        <w:t xml:space="preserve"> are spiked</w:t>
      </w:r>
      <w:r w:rsidR="004D0354" w:rsidRPr="00A63BE2">
        <w:t>.</w:t>
      </w:r>
      <w:r w:rsidR="00544282" w:rsidRPr="00A63BE2">
        <w:t xml:space="preserve"> </w:t>
      </w:r>
      <w:r w:rsidR="00091C9F" w:rsidRPr="00A63BE2">
        <w:t xml:space="preserve">When Additional Prep for Quantification is requested, </w:t>
      </w:r>
      <w:r w:rsidR="005763DB" w:rsidRPr="00A63BE2">
        <w:t>Protein</w:t>
      </w:r>
      <w:r w:rsidR="00091C9F" w:rsidRPr="00A63BE2">
        <w:t>-normalized</w:t>
      </w:r>
      <w:r w:rsidR="005763DB" w:rsidRPr="00A63BE2">
        <w:t xml:space="preserve"> data </w:t>
      </w:r>
      <w:r w:rsidR="00544282" w:rsidRPr="00A63BE2">
        <w:t xml:space="preserve">is </w:t>
      </w:r>
      <w:r w:rsidR="005763DB" w:rsidRPr="00A63BE2">
        <w:t>provided for downstream quantitative analysis.</w:t>
      </w:r>
    </w:p>
    <w:p w14:paraId="35F0AB9E" w14:textId="77777777" w:rsidR="0074284A" w:rsidRDefault="0074284A" w:rsidP="00A63BE2">
      <w:pPr>
        <w:pStyle w:val="Heading3"/>
      </w:pPr>
      <w:r>
        <w:t>Sample Preparation (Liquid Form)</w:t>
      </w:r>
    </w:p>
    <w:p w14:paraId="6CF49FF1" w14:textId="77777777" w:rsidR="0074284A" w:rsidRDefault="0074284A" w:rsidP="00A63BE2">
      <w:r>
        <w:t xml:space="preserve">•  </w:t>
      </w:r>
      <w:r w:rsidRPr="00A63BE2">
        <w:t>For plasma, serum, urine, media, and other liquid biological samples.</w:t>
      </w:r>
    </w:p>
    <w:p w14:paraId="7FA8CEB1" w14:textId="4CCED976" w:rsidR="0074284A" w:rsidRDefault="0074284A" w:rsidP="00A63BE2">
      <w:r>
        <w:t xml:space="preserve">•  </w:t>
      </w:r>
      <w:r w:rsidRPr="00A63BE2">
        <w:t>MTBE-based</w:t>
      </w:r>
      <w:r w:rsidR="000025B3" w:rsidRPr="00A63BE2">
        <w:t xml:space="preserve"> or </w:t>
      </w:r>
      <w:r w:rsidR="005763DB" w:rsidRPr="00A63BE2">
        <w:t>Bligh-Dyer/Folch-based</w:t>
      </w:r>
      <w:r w:rsidRPr="00A63BE2">
        <w:t xml:space="preserve"> biphasic extraction optimized for broad lipid recovery.</w:t>
      </w:r>
    </w:p>
    <w:p w14:paraId="3C8A6D01" w14:textId="77777777" w:rsidR="00C1192D" w:rsidRDefault="00C1192D" w:rsidP="00A63BE2">
      <w:pPr>
        <w:pStyle w:val="Heading3"/>
      </w:pPr>
      <w:r w:rsidRPr="00A63BE2">
        <w:t>Sample</w:t>
      </w:r>
      <w:r>
        <w:rPr>
          <w:color w:val="1A3A5C"/>
        </w:rPr>
        <w:t xml:space="preserve"> Preparation (Cell Pellet)</w:t>
      </w:r>
    </w:p>
    <w:p w14:paraId="25848DAA" w14:textId="77777777" w:rsidR="00C1192D" w:rsidRDefault="00C1192D" w:rsidP="00A63BE2">
      <w:r>
        <w:t xml:space="preserve">•  </w:t>
      </w:r>
      <w:r w:rsidRPr="00A63BE2">
        <w:t>For adherent or suspension cell pellets, including primary and cultured lines.</w:t>
      </w:r>
    </w:p>
    <w:p w14:paraId="693B857A" w14:textId="77777777" w:rsidR="00C1192D" w:rsidRDefault="00C1192D" w:rsidP="00A63BE2">
      <w:r>
        <w:t xml:space="preserve">•  </w:t>
      </w:r>
      <w:r w:rsidRPr="00A63BE2">
        <w:t>Cell lysis and lipid extraction in a single streamlined workflow.</w:t>
      </w:r>
    </w:p>
    <w:p w14:paraId="5E9AE8BC" w14:textId="77777777" w:rsidR="00D526DB" w:rsidRDefault="00D526DB" w:rsidP="00A63BE2">
      <w:pPr>
        <w:pStyle w:val="Heading3"/>
      </w:pPr>
      <w:r w:rsidRPr="00A63BE2">
        <w:t>Sample</w:t>
      </w:r>
      <w:r>
        <w:rPr>
          <w:color w:val="1A3A5C"/>
        </w:rPr>
        <w:t xml:space="preserve"> Preparation (Tissue)</w:t>
      </w:r>
    </w:p>
    <w:p w14:paraId="77DF5913" w14:textId="77777777" w:rsidR="00D526DB" w:rsidRDefault="00D526DB" w:rsidP="00A63BE2">
      <w:r>
        <w:t xml:space="preserve">•  </w:t>
      </w:r>
      <w:r w:rsidRPr="00A63BE2">
        <w:t>For fresh-frozen or snap-frozen tissue specimens of any organ type.</w:t>
      </w:r>
    </w:p>
    <w:p w14:paraId="4E691381" w14:textId="77777777" w:rsidR="00D526DB" w:rsidRDefault="00D526DB" w:rsidP="00A63BE2">
      <w:r>
        <w:t xml:space="preserve">•  </w:t>
      </w:r>
      <w:r w:rsidRPr="00A63BE2">
        <w:t>Mechanical homogenization followed by optimized lipid extraction.</w:t>
      </w:r>
    </w:p>
    <w:p w14:paraId="6A009B14" w14:textId="77777777" w:rsidR="00D526DB" w:rsidRPr="00A63BE2" w:rsidRDefault="00D526DB" w:rsidP="00D526DB">
      <w:r>
        <w:t xml:space="preserve">•  </w:t>
      </w:r>
      <w:r w:rsidRPr="00A63BE2">
        <w:t>Wet-weight normalization included; minimum tissue requirements provided upon consultation.</w:t>
      </w:r>
    </w:p>
    <w:p w14:paraId="3C4F2D78" w14:textId="77777777" w:rsidR="002B120A" w:rsidRDefault="002B120A" w:rsidP="00A63BE2">
      <w:pPr>
        <w:pStyle w:val="Heading3"/>
      </w:pPr>
      <w:r w:rsidRPr="00A63BE2">
        <w:t>Additional</w:t>
      </w:r>
      <w:r>
        <w:rPr>
          <w:color w:val="1A3A5C"/>
        </w:rPr>
        <w:t xml:space="preserve"> Prep for Quantification</w:t>
      </w:r>
    </w:p>
    <w:p w14:paraId="74380085" w14:textId="340D921E" w:rsidR="002B120A" w:rsidRDefault="002B120A" w:rsidP="00A63BE2">
      <w:r>
        <w:t xml:space="preserve">•  </w:t>
      </w:r>
      <w:r w:rsidRPr="00A63BE2">
        <w:t xml:space="preserve">Add-on service for projects requiring </w:t>
      </w:r>
      <w:r w:rsidR="00D46C81" w:rsidRPr="00A63BE2">
        <w:t>protein-based normalization</w:t>
      </w:r>
      <w:r w:rsidRPr="00A63BE2">
        <w:t>.</w:t>
      </w:r>
    </w:p>
    <w:p w14:paraId="3EA929D0" w14:textId="77777777" w:rsidR="00A63BE2" w:rsidRPr="00A63BE2" w:rsidRDefault="00A63BE2" w:rsidP="00A63BE2"/>
    <w:p w14:paraId="778DEDE8" w14:textId="77777777" w:rsidR="00FC6CC8" w:rsidRDefault="00FC6CC8" w:rsidP="00A63BE2">
      <w:pPr>
        <w:pStyle w:val="Heading2"/>
      </w:pPr>
      <w:r>
        <w:rPr>
          <w:rFonts w:ascii="Calibri" w:eastAsia="Calibri" w:hAnsi="Calibri" w:cs="Calibri"/>
          <w:color w:val="1A3A5C"/>
        </w:rPr>
        <w:t xml:space="preserve">Data </w:t>
      </w:r>
      <w:r w:rsidRPr="00A63BE2">
        <w:rPr>
          <w:rFonts w:eastAsia="Calibri"/>
        </w:rPr>
        <w:t>Acquisition</w:t>
      </w:r>
    </w:p>
    <w:p w14:paraId="49499EE4" w14:textId="77777777" w:rsidR="00D85745" w:rsidRDefault="00D85745" w:rsidP="00A63BE2">
      <w:r w:rsidRPr="00A63BE2">
        <w:t>High-resolution Orbitrap LC-MS/MS acquisition tailored to your analytical goals.</w:t>
      </w:r>
    </w:p>
    <w:p w14:paraId="2DE1797D" w14:textId="77777777" w:rsidR="006662C5" w:rsidRDefault="006662C5" w:rsidP="00A63BE2">
      <w:pPr>
        <w:pStyle w:val="Heading3"/>
      </w:pPr>
      <w:r>
        <w:rPr>
          <w:color w:val="1A3A5C"/>
        </w:rPr>
        <w:t xml:space="preserve">Data </w:t>
      </w:r>
      <w:r w:rsidRPr="00A63BE2">
        <w:t>Acquisition</w:t>
      </w:r>
      <w:r>
        <w:rPr>
          <w:color w:val="1A3A5C"/>
        </w:rPr>
        <w:t xml:space="preserve"> for Identification Only</w:t>
      </w:r>
    </w:p>
    <w:p w14:paraId="3DFE6D8D" w14:textId="0DD53D4A" w:rsidR="006662C5" w:rsidRDefault="006662C5" w:rsidP="00A63BE2">
      <w:r>
        <w:t xml:space="preserve">•  </w:t>
      </w:r>
      <w:r w:rsidRPr="00A63BE2">
        <w:t xml:space="preserve">Untargeted, full-scan LC-MS/MS profiling on </w:t>
      </w:r>
      <w:proofErr w:type="spellStart"/>
      <w:r w:rsidRPr="00A63BE2">
        <w:t>Thermo</w:t>
      </w:r>
      <w:proofErr w:type="spellEnd"/>
      <w:r w:rsidRPr="00A63BE2">
        <w:t xml:space="preserve"> </w:t>
      </w:r>
      <w:r w:rsidR="00605788" w:rsidRPr="00A63BE2">
        <w:t>Orbitrap</w:t>
      </w:r>
      <w:r w:rsidRPr="00A63BE2">
        <w:t xml:space="preserve"> platforms.</w:t>
      </w:r>
    </w:p>
    <w:p w14:paraId="64BD9C74" w14:textId="77777777" w:rsidR="006662C5" w:rsidRDefault="006662C5" w:rsidP="00A63BE2">
      <w:r>
        <w:t xml:space="preserve">•  </w:t>
      </w:r>
      <w:r w:rsidRPr="00A63BE2">
        <w:t>Covers hundreds of lipid species across all major and minor lipid classes.</w:t>
      </w:r>
    </w:p>
    <w:p w14:paraId="6A6F51AF" w14:textId="77777777" w:rsidR="00E816B6" w:rsidRPr="00A63BE2" w:rsidRDefault="006662C5" w:rsidP="006662C5">
      <w:r>
        <w:t xml:space="preserve">•  </w:t>
      </w:r>
      <w:r w:rsidRPr="00A63BE2">
        <w:t>Ideal for discovery, biomarker screening, and hypothesis generation.</w:t>
      </w:r>
    </w:p>
    <w:p w14:paraId="4B9D91B9" w14:textId="77777777" w:rsidR="00E816B6" w:rsidRDefault="00E816B6" w:rsidP="00A63BE2">
      <w:pPr>
        <w:pStyle w:val="Heading3"/>
      </w:pPr>
      <w:r>
        <w:rPr>
          <w:color w:val="1A3A5C"/>
        </w:rPr>
        <w:lastRenderedPageBreak/>
        <w:t>Data Acquisition for Identification and Quantification</w:t>
      </w:r>
    </w:p>
    <w:p w14:paraId="76EC364D" w14:textId="3BB7E4EB" w:rsidR="00E816B6" w:rsidRDefault="00E816B6" w:rsidP="00A63BE2">
      <w:r>
        <w:t xml:space="preserve">•  </w:t>
      </w:r>
      <w:r w:rsidR="003A160A">
        <w:t>F</w:t>
      </w:r>
      <w:r w:rsidRPr="00A63BE2">
        <w:t xml:space="preserve">ull-scan </w:t>
      </w:r>
      <w:r w:rsidR="003A160A" w:rsidRPr="00A63BE2">
        <w:t>with spiked internal standards</w:t>
      </w:r>
      <w:r w:rsidRPr="00A63BE2">
        <w:t xml:space="preserve"> in a single run.</w:t>
      </w:r>
    </w:p>
    <w:p w14:paraId="5EEC2ED8" w14:textId="77777777" w:rsidR="00E816B6" w:rsidRDefault="00E816B6" w:rsidP="00A63BE2">
      <w:r>
        <w:t xml:space="preserve">•  </w:t>
      </w:r>
      <w:r w:rsidRPr="00A63BE2">
        <w:t>Pairs broad lipid coverage with precise quantification of selected panels.</w:t>
      </w:r>
    </w:p>
    <w:p w14:paraId="30783CE2" w14:textId="77777777" w:rsidR="00A63BE2" w:rsidRDefault="00A63BE2" w:rsidP="00A63BE2"/>
    <w:p w14:paraId="326A60B9" w14:textId="77777777" w:rsidR="005367FA" w:rsidRDefault="005367FA" w:rsidP="00A63BE2">
      <w:pPr>
        <w:pStyle w:val="Heading2"/>
      </w:pPr>
      <w:r>
        <w:rPr>
          <w:rFonts w:ascii="Calibri" w:eastAsia="Calibri" w:hAnsi="Calibri" w:cs="Calibri"/>
          <w:color w:val="1A3A5C"/>
        </w:rPr>
        <w:t xml:space="preserve">Data </w:t>
      </w:r>
      <w:r w:rsidRPr="00A63BE2">
        <w:rPr>
          <w:rFonts w:eastAsia="Calibri"/>
        </w:rPr>
        <w:t>Processing</w:t>
      </w:r>
    </w:p>
    <w:p w14:paraId="398D8769" w14:textId="77777777" w:rsidR="00EA2E8E" w:rsidRDefault="00EA2E8E" w:rsidP="00A63BE2">
      <w:r w:rsidRPr="00A63BE2">
        <w:t>Automated pipelines paired with expert curation turn raw spectra into publication-ready results.</w:t>
      </w:r>
    </w:p>
    <w:p w14:paraId="1FB11B9A" w14:textId="77777777" w:rsidR="00B63F61" w:rsidRDefault="00B63F61" w:rsidP="00A63BE2">
      <w:pPr>
        <w:pStyle w:val="Heading3"/>
      </w:pPr>
      <w:r>
        <w:rPr>
          <w:color w:val="1A3A5C"/>
        </w:rPr>
        <w:t xml:space="preserve">Data </w:t>
      </w:r>
      <w:r w:rsidRPr="00A63BE2">
        <w:t>Processing</w:t>
      </w:r>
      <w:r>
        <w:rPr>
          <w:color w:val="1A3A5C"/>
        </w:rPr>
        <w:t xml:space="preserve"> for Identification Only</w:t>
      </w:r>
    </w:p>
    <w:p w14:paraId="687CA255" w14:textId="77777777" w:rsidR="00B63F61" w:rsidRDefault="00B63F61" w:rsidP="00A63BE2">
      <w:r>
        <w:t xml:space="preserve">•  </w:t>
      </w:r>
      <w:r w:rsidRPr="00A63BE2">
        <w:t>Automated spectral matching and lipid annotation against curated databases.</w:t>
      </w:r>
    </w:p>
    <w:p w14:paraId="106C8A59" w14:textId="77777777" w:rsidR="00B63F61" w:rsidRDefault="00B63F61" w:rsidP="00A63BE2">
      <w:r>
        <w:t xml:space="preserve">•  </w:t>
      </w:r>
      <w:r w:rsidRPr="00A63BE2">
        <w:t>MS/MS-level confirmation for high-confidence identifications.</w:t>
      </w:r>
    </w:p>
    <w:p w14:paraId="3AD0C351" w14:textId="77777777" w:rsidR="00AC48E4" w:rsidRPr="00A63BE2" w:rsidRDefault="00B63F61" w:rsidP="00B63F61">
      <w:r>
        <w:t xml:space="preserve">•  </w:t>
      </w:r>
      <w:r w:rsidRPr="00A63BE2">
        <w:t>Deliverable: annotated lipid list in spreadsheet format.</w:t>
      </w:r>
    </w:p>
    <w:p w14:paraId="75E1DA7B" w14:textId="77777777" w:rsidR="00AC48E4" w:rsidRDefault="00AC48E4" w:rsidP="00A63BE2">
      <w:pPr>
        <w:pStyle w:val="Heading3"/>
      </w:pPr>
      <w:r>
        <w:rPr>
          <w:color w:val="1A3A5C"/>
        </w:rPr>
        <w:t xml:space="preserve">Data </w:t>
      </w:r>
      <w:r w:rsidRPr="00A63BE2">
        <w:t>Processing</w:t>
      </w:r>
      <w:r>
        <w:rPr>
          <w:color w:val="1A3A5C"/>
        </w:rPr>
        <w:t xml:space="preserve"> for Identification and Quantification</w:t>
      </w:r>
    </w:p>
    <w:p w14:paraId="74879BA3" w14:textId="77777777" w:rsidR="00AC48E4" w:rsidRDefault="00AC48E4" w:rsidP="00A63BE2">
      <w:r>
        <w:t xml:space="preserve">•  </w:t>
      </w:r>
      <w:r w:rsidRPr="00A63BE2">
        <w:t>Full identification pipeline plus absolute or relative quantification.</w:t>
      </w:r>
    </w:p>
    <w:p w14:paraId="116ABF45" w14:textId="77777777" w:rsidR="00AC48E4" w:rsidRDefault="00AC48E4" w:rsidP="00A63BE2">
      <w:r>
        <w:t xml:space="preserve">•  </w:t>
      </w:r>
      <w:r w:rsidRPr="00A63BE2">
        <w:t>Internal-standard normalization, batch correction, and QC filtering applied.</w:t>
      </w:r>
    </w:p>
    <w:p w14:paraId="0678CE15" w14:textId="77777777" w:rsidR="009369CB" w:rsidRDefault="00AC48E4" w:rsidP="00AC48E4">
      <w:r>
        <w:t xml:space="preserve">•  </w:t>
      </w:r>
      <w:r w:rsidRPr="00A63BE2">
        <w:t>Deliverable: quantified lipid report</w:t>
      </w:r>
      <w:r w:rsidR="00CC47BA" w:rsidRPr="00A63BE2">
        <w:t>, re</w:t>
      </w:r>
      <w:r w:rsidRPr="00A63BE2">
        <w:t>ady for statistical analysis.</w:t>
      </w:r>
    </w:p>
    <w:p w14:paraId="00151117" w14:textId="77777777" w:rsidR="00A63BE2" w:rsidRPr="00A63BE2" w:rsidRDefault="00A63BE2" w:rsidP="00AC48E4"/>
    <w:p w14:paraId="6386BA31" w14:textId="77777777" w:rsidR="009369CB" w:rsidRDefault="009369CB" w:rsidP="00A63BE2">
      <w:pPr>
        <w:pStyle w:val="Heading2"/>
      </w:pPr>
      <w:r>
        <w:rPr>
          <w:rFonts w:ascii="Calibri" w:eastAsia="Calibri" w:hAnsi="Calibri" w:cs="Calibri"/>
          <w:color w:val="1A3A5C"/>
        </w:rPr>
        <w:t xml:space="preserve">Data </w:t>
      </w:r>
      <w:r w:rsidRPr="00A63BE2">
        <w:rPr>
          <w:rFonts w:eastAsia="Calibri"/>
        </w:rPr>
        <w:t>Consulting</w:t>
      </w:r>
    </w:p>
    <w:p w14:paraId="01FB9D46" w14:textId="77777777" w:rsidR="00311F9D" w:rsidRDefault="00311F9D" w:rsidP="00A63BE2">
      <w:r w:rsidRPr="00A63BE2">
        <w:t>Expert guidance at every stage — from experimental design through manuscript submission.</w:t>
      </w:r>
    </w:p>
    <w:p w14:paraId="1522FA45" w14:textId="77777777" w:rsidR="00AD05B5" w:rsidRDefault="00AD05B5" w:rsidP="00A63BE2">
      <w:pPr>
        <w:pStyle w:val="Heading3"/>
      </w:pPr>
      <w:r>
        <w:rPr>
          <w:color w:val="1A3A5C"/>
        </w:rPr>
        <w:t xml:space="preserve">Data </w:t>
      </w:r>
      <w:r w:rsidRPr="00A63BE2">
        <w:t>Consulting</w:t>
      </w:r>
      <w:r>
        <w:rPr>
          <w:color w:val="1A3A5C"/>
        </w:rPr>
        <w:t xml:space="preserve"> (Per Hour)</w:t>
      </w:r>
    </w:p>
    <w:p w14:paraId="79E7DFB0" w14:textId="77777777" w:rsidR="00AD05B5" w:rsidRDefault="00AD05B5" w:rsidP="00A63BE2">
      <w:r>
        <w:t xml:space="preserve">•  </w:t>
      </w:r>
      <w:r w:rsidRPr="00A63BE2">
        <w:t>Pre-submission consultation on study design, sample requirements, and statistical power.</w:t>
      </w:r>
    </w:p>
    <w:p w14:paraId="5ADE2B1F" w14:textId="2C394E53" w:rsidR="001337F0" w:rsidRDefault="001337F0" w:rsidP="001337F0">
      <w:r>
        <w:t>•  Method Development for specific experimental requirements</w:t>
      </w:r>
    </w:p>
    <w:p w14:paraId="4F7D4CBC" w14:textId="47E96669" w:rsidR="00AD05B5" w:rsidRDefault="00AD05B5" w:rsidP="00A63BE2">
      <w:r>
        <w:t xml:space="preserve">•  </w:t>
      </w:r>
      <w:r w:rsidR="00C02CB5">
        <w:t xml:space="preserve">Training for </w:t>
      </w:r>
      <w:r w:rsidR="00B932D1">
        <w:t xml:space="preserve">sample preparation, </w:t>
      </w:r>
      <w:r w:rsidR="00C02CB5">
        <w:t>data processing and interpretation</w:t>
      </w:r>
    </w:p>
    <w:p w14:paraId="06F078DA" w14:textId="14F5B46C" w:rsidR="0030706A" w:rsidRDefault="00AD05B5" w:rsidP="00AD05B5">
      <w:r>
        <w:t xml:space="preserve">•  </w:t>
      </w:r>
      <w:r w:rsidRPr="00A63BE2">
        <w:t>Guidance on manuscript preparation, figure design, and methods sections for publication.</w:t>
      </w:r>
      <w:r w:rsidR="0030706A">
        <w:br w:type="page"/>
      </w:r>
    </w:p>
    <w:p w14:paraId="660866E2" w14:textId="13E9D463" w:rsidR="008C4140" w:rsidRPr="008310AD" w:rsidRDefault="008C4140" w:rsidP="008310AD">
      <w:pPr>
        <w:pStyle w:val="Heading2"/>
      </w:pPr>
      <w:r w:rsidRPr="008310AD">
        <w:lastRenderedPageBreak/>
        <w:t>Service Rates</w:t>
      </w:r>
    </w:p>
    <w:p w14:paraId="2914A6BC" w14:textId="7FF6E6AE" w:rsidR="00BA3A6C" w:rsidRDefault="00BF0CB2" w:rsidP="00330FDE">
      <w:r>
        <w:t xml:space="preserve">Please </w:t>
      </w:r>
      <w:r w:rsidR="000E0839">
        <w:t xml:space="preserve">Visit </w:t>
      </w:r>
      <w:hyperlink r:id="rId6" w:history="1">
        <w:r w:rsidR="00BA3A6C" w:rsidRPr="004D6728">
          <w:rPr>
            <w:rStyle w:val="Hyperlink"/>
          </w:rPr>
          <w:t>https://research.yale.edu/cores/yale-lipidomics-innovation-core</w:t>
        </w:r>
      </w:hyperlink>
    </w:p>
    <w:p w14:paraId="72E8C11C" w14:textId="10E13E65" w:rsidR="00330FDE" w:rsidRPr="00330FDE" w:rsidRDefault="00BA3A6C" w:rsidP="00330FDE">
      <w:r>
        <w:t xml:space="preserve">Or </w:t>
      </w:r>
      <w:r w:rsidR="00BF0CB2">
        <w:t xml:space="preserve">Consult To </w:t>
      </w:r>
      <w:hyperlink r:id="rId7" w:history="1">
        <w:r w:rsidR="00BF0CB2" w:rsidRPr="00044D84">
          <w:rPr>
            <w:rStyle w:val="Hyperlink"/>
          </w:rPr>
          <w:t xml:space="preserve">Yale </w:t>
        </w:r>
        <w:proofErr w:type="spellStart"/>
        <w:r w:rsidR="00BF0CB2" w:rsidRPr="00044D84">
          <w:rPr>
            <w:rStyle w:val="Hyperlink"/>
          </w:rPr>
          <w:t>Lipidomics</w:t>
        </w:r>
        <w:proofErr w:type="spellEnd"/>
        <w:r w:rsidR="00BF0CB2" w:rsidRPr="00044D84">
          <w:rPr>
            <w:rStyle w:val="Hyperlink"/>
          </w:rPr>
          <w:t xml:space="preserve"> Innovation Core</w:t>
        </w:r>
      </w:hyperlink>
    </w:p>
    <w:p w14:paraId="661CCCCC" w14:textId="77777777" w:rsidR="00623DE5" w:rsidRDefault="00623DE5" w:rsidP="00623DE5"/>
    <w:p w14:paraId="72DF6836" w14:textId="77777777" w:rsidR="00623DE5" w:rsidRDefault="00623DE5" w:rsidP="00623DE5"/>
    <w:p w14:paraId="781B1280" w14:textId="77777777" w:rsidR="00623DE5" w:rsidRPr="00623DE5" w:rsidRDefault="00623DE5" w:rsidP="00623DE5"/>
    <w:sectPr w:rsidR="00623DE5" w:rsidRPr="00623DE5" w:rsidSect="00330FD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46B0" w14:textId="77777777" w:rsidR="00677B50" w:rsidRDefault="00677B50" w:rsidP="00623DE5">
      <w:pPr>
        <w:spacing w:after="0" w:line="240" w:lineRule="auto"/>
      </w:pPr>
      <w:r>
        <w:separator/>
      </w:r>
    </w:p>
  </w:endnote>
  <w:endnote w:type="continuationSeparator" w:id="0">
    <w:p w14:paraId="1F7CCF5F" w14:textId="77777777" w:rsidR="00677B50" w:rsidRDefault="00677B50" w:rsidP="0062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8AB2" w14:textId="77777777" w:rsidR="00677B50" w:rsidRDefault="00677B50" w:rsidP="00623DE5">
      <w:pPr>
        <w:spacing w:after="0" w:line="240" w:lineRule="auto"/>
      </w:pPr>
      <w:r>
        <w:separator/>
      </w:r>
    </w:p>
  </w:footnote>
  <w:footnote w:type="continuationSeparator" w:id="0">
    <w:p w14:paraId="416F7C6F" w14:textId="77777777" w:rsidR="00677B50" w:rsidRDefault="00677B50" w:rsidP="0062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F2AF" w14:textId="256A4905" w:rsidR="00286394" w:rsidRPr="00286394" w:rsidRDefault="00286394" w:rsidP="002F1E6F">
    <w:pPr>
      <w:pStyle w:val="Header"/>
      <w:jc w:val="right"/>
      <w:rPr>
        <w:i/>
        <w:iCs/>
      </w:rPr>
    </w:pPr>
    <w:r w:rsidRPr="00286394">
      <w:rPr>
        <w:i/>
        <w:iCs/>
      </w:rPr>
      <w:t xml:space="preserve">Yale </w:t>
    </w:r>
    <w:proofErr w:type="spellStart"/>
    <w:r w:rsidRPr="00286394">
      <w:rPr>
        <w:i/>
        <w:iCs/>
      </w:rPr>
      <w:t>Lipidomics</w:t>
    </w:r>
    <w:proofErr w:type="spellEnd"/>
    <w:r w:rsidRPr="00286394">
      <w:rPr>
        <w:i/>
        <w:iCs/>
      </w:rPr>
      <w:t xml:space="preserve"> Innovation Core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5"/>
    <w:rsid w:val="000025B3"/>
    <w:rsid w:val="00044D84"/>
    <w:rsid w:val="00091C9F"/>
    <w:rsid w:val="000E0839"/>
    <w:rsid w:val="001337F0"/>
    <w:rsid w:val="00156DA7"/>
    <w:rsid w:val="0019454D"/>
    <w:rsid w:val="00207114"/>
    <w:rsid w:val="00286394"/>
    <w:rsid w:val="002B120A"/>
    <w:rsid w:val="002F1E6F"/>
    <w:rsid w:val="0030706A"/>
    <w:rsid w:val="00311F9D"/>
    <w:rsid w:val="00330FDE"/>
    <w:rsid w:val="00381131"/>
    <w:rsid w:val="00383DD4"/>
    <w:rsid w:val="00397E20"/>
    <w:rsid w:val="003A160A"/>
    <w:rsid w:val="003F1DF3"/>
    <w:rsid w:val="004D0354"/>
    <w:rsid w:val="005367FA"/>
    <w:rsid w:val="00544282"/>
    <w:rsid w:val="005763DB"/>
    <w:rsid w:val="005A69FD"/>
    <w:rsid w:val="00605788"/>
    <w:rsid w:val="00623DE5"/>
    <w:rsid w:val="006662C5"/>
    <w:rsid w:val="00677B50"/>
    <w:rsid w:val="006B3F9A"/>
    <w:rsid w:val="006D585E"/>
    <w:rsid w:val="0072359C"/>
    <w:rsid w:val="0074284A"/>
    <w:rsid w:val="00796939"/>
    <w:rsid w:val="008310AD"/>
    <w:rsid w:val="008C4140"/>
    <w:rsid w:val="009369CB"/>
    <w:rsid w:val="00A63BE2"/>
    <w:rsid w:val="00AC48E4"/>
    <w:rsid w:val="00AD05B5"/>
    <w:rsid w:val="00B63F61"/>
    <w:rsid w:val="00B91D99"/>
    <w:rsid w:val="00B932D1"/>
    <w:rsid w:val="00BA3A6C"/>
    <w:rsid w:val="00BF0CB2"/>
    <w:rsid w:val="00C02CB5"/>
    <w:rsid w:val="00C1192D"/>
    <w:rsid w:val="00CC47BA"/>
    <w:rsid w:val="00D46C81"/>
    <w:rsid w:val="00D526DB"/>
    <w:rsid w:val="00D85745"/>
    <w:rsid w:val="00E803A0"/>
    <w:rsid w:val="00E816B6"/>
    <w:rsid w:val="00EA2E8E"/>
    <w:rsid w:val="00F136DC"/>
    <w:rsid w:val="00F33EC8"/>
    <w:rsid w:val="00F81009"/>
    <w:rsid w:val="00F96B22"/>
    <w:rsid w:val="00FC6CC8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2416"/>
  <w15:chartTrackingRefBased/>
  <w15:docId w15:val="{FC382A31-C64E-46E2-88E7-AFDDAB6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0AD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6DC"/>
    <w:pPr>
      <w:keepNext/>
      <w:keepLines/>
      <w:spacing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10AD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1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DE5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623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E5"/>
  </w:style>
  <w:style w:type="paragraph" w:styleId="Footer">
    <w:name w:val="footer"/>
    <w:basedOn w:val="Normal"/>
    <w:link w:val="FooterChar"/>
    <w:uiPriority w:val="99"/>
    <w:unhideWhenUsed/>
    <w:rsid w:val="0062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E5"/>
  </w:style>
  <w:style w:type="character" w:styleId="Hyperlink">
    <w:name w:val="Hyperlink"/>
    <w:basedOn w:val="DefaultParagraphFont"/>
    <w:uiPriority w:val="99"/>
    <w:unhideWhenUsed/>
    <w:rsid w:val="00044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eongho.kim@yal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.yale.edu/cores/yale-lipidomics-innovation-co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Yeongho</dc:creator>
  <cp:keywords/>
  <dc:description/>
  <cp:lastModifiedBy>Kim, Yeongho</cp:lastModifiedBy>
  <cp:revision>7</cp:revision>
  <dcterms:created xsi:type="dcterms:W3CDTF">2026-04-22T15:44:00Z</dcterms:created>
  <dcterms:modified xsi:type="dcterms:W3CDTF">2026-04-22T15:57:00Z</dcterms:modified>
</cp:coreProperties>
</file>